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4B7" w:rsidRDefault="003B04B7" w:rsidP="003B04B7">
      <w:pPr>
        <w:spacing w:after="120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 xml:space="preserve">Cumplimentar las casillas en blanco con </w:t>
      </w:r>
      <w:r>
        <w:rPr>
          <w:rFonts w:ascii="Verdana" w:hAnsi="Verdana"/>
          <w:noProof/>
          <w:sz w:val="12"/>
          <w:szCs w:val="12"/>
        </w:rPr>
        <w:drawing>
          <wp:inline distT="0" distB="0" distL="0" distR="0">
            <wp:extent cx="133350" cy="133350"/>
            <wp:effectExtent l="0" t="0" r="0" b="0"/>
            <wp:docPr id="3" name="Imagen 3" descr="Archivo:Symbol OK.svg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Archivo:Symbol OK.svg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2"/>
          <w:szCs w:val="12"/>
        </w:rPr>
        <w:t xml:space="preserve">si el ítem verificado está bien y con </w:t>
      </w:r>
      <w:r>
        <w:rPr>
          <w:rFonts w:ascii="Verdana" w:hAnsi="Verdana"/>
          <w:noProof/>
          <w:sz w:val="12"/>
          <w:szCs w:val="12"/>
        </w:rPr>
        <w:drawing>
          <wp:inline distT="0" distB="0" distL="0" distR="0">
            <wp:extent cx="142875" cy="133350"/>
            <wp:effectExtent l="0" t="0" r="9525" b="0"/>
            <wp:docPr id="1" name="Imagen 1" descr="Símbolo de vetor de cruz vermelha não OK | Vectores de Domínio Públ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Símbolo de vetor de cruz vermelha não OK | Vectores de Domínio Públic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2"/>
          <w:szCs w:val="12"/>
        </w:rPr>
        <w:t xml:space="preserve"> si el ítem verificado no está bien (en este último caso, realizar una anotación en observaciones y proceder a su subsanación)</w:t>
      </w:r>
    </w:p>
    <w:tbl>
      <w:tblPr>
        <w:tblStyle w:val="Tablaconcuadrcula"/>
        <w:tblW w:w="13896" w:type="dxa"/>
        <w:tblLook w:val="04A0" w:firstRow="1" w:lastRow="0" w:firstColumn="1" w:lastColumn="0" w:noHBand="0" w:noVBand="1"/>
      </w:tblPr>
      <w:tblGrid>
        <w:gridCol w:w="6036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</w:tblGrid>
      <w:tr w:rsidR="00F97B68" w:rsidRPr="00DB35E1" w:rsidTr="00F97B68">
        <w:trPr>
          <w:cantSplit/>
          <w:trHeight w:val="650"/>
        </w:trPr>
        <w:tc>
          <w:tcPr>
            <w:tcW w:w="6036" w:type="dxa"/>
            <w:vMerge w:val="restart"/>
            <w:shd w:val="clear" w:color="auto" w:fill="auto"/>
            <w:vAlign w:val="center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965" w:type="dxa"/>
            <w:gridSpan w:val="5"/>
            <w:shd w:val="clear" w:color="auto" w:fill="auto"/>
          </w:tcPr>
          <w:p w:rsidR="00F97B68" w:rsidRDefault="00F97B68" w:rsidP="00F97B68">
            <w:pPr>
              <w:pStyle w:val="cuerpotablaizq"/>
              <w:spacing w:before="0" w:beforeAutospacing="0" w:after="0" w:afterAutospacing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FECHA DE REVISIÓN:</w:t>
            </w:r>
          </w:p>
          <w:p w:rsidR="00F97B68" w:rsidRDefault="00F97B68" w:rsidP="00F97B68">
            <w:pPr>
              <w:pStyle w:val="cuerpotablaizq"/>
              <w:spacing w:before="0" w:beforeAutospacing="0" w:after="0" w:afterAutospacing="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___________</w:t>
            </w:r>
          </w:p>
        </w:tc>
        <w:tc>
          <w:tcPr>
            <w:tcW w:w="1965" w:type="dxa"/>
            <w:gridSpan w:val="5"/>
            <w:shd w:val="clear" w:color="auto" w:fill="auto"/>
          </w:tcPr>
          <w:p w:rsidR="00F97B68" w:rsidRDefault="00F97B68" w:rsidP="00F97B68">
            <w:pPr>
              <w:pStyle w:val="cuerpotablaizq"/>
              <w:spacing w:before="0" w:beforeAutospacing="0" w:after="0" w:afterAutospacing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FECHA DE REVISIÓN:</w:t>
            </w:r>
          </w:p>
          <w:p w:rsidR="00F97B68" w:rsidRDefault="00F97B68" w:rsidP="00F97B68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___________</w:t>
            </w:r>
          </w:p>
        </w:tc>
        <w:tc>
          <w:tcPr>
            <w:tcW w:w="1965" w:type="dxa"/>
            <w:gridSpan w:val="5"/>
            <w:shd w:val="clear" w:color="auto" w:fill="auto"/>
          </w:tcPr>
          <w:p w:rsidR="00F97B68" w:rsidRDefault="00F97B68" w:rsidP="00F97B68">
            <w:pPr>
              <w:pStyle w:val="cuerpotablaizq"/>
              <w:spacing w:before="0" w:beforeAutospacing="0" w:after="0" w:afterAutospacing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FECHA DE REVISIÓN:</w:t>
            </w:r>
          </w:p>
          <w:p w:rsidR="00F97B68" w:rsidRDefault="00F97B68" w:rsidP="00F97B68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___________</w:t>
            </w:r>
          </w:p>
        </w:tc>
        <w:tc>
          <w:tcPr>
            <w:tcW w:w="1965" w:type="dxa"/>
            <w:gridSpan w:val="5"/>
            <w:shd w:val="clear" w:color="auto" w:fill="auto"/>
          </w:tcPr>
          <w:p w:rsidR="00F97B68" w:rsidRDefault="00F97B68" w:rsidP="00F97B68">
            <w:pPr>
              <w:pStyle w:val="cuerpotablaizq"/>
              <w:spacing w:before="0" w:beforeAutospacing="0" w:after="0" w:afterAutospacing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FECHA DE REVISIÓN:</w:t>
            </w:r>
          </w:p>
          <w:p w:rsidR="00F97B68" w:rsidRDefault="00F97B68" w:rsidP="00F97B68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___________</w:t>
            </w:r>
          </w:p>
        </w:tc>
      </w:tr>
      <w:tr w:rsidR="00F97B68" w:rsidRPr="00DB35E1" w:rsidTr="003B04B7">
        <w:trPr>
          <w:cantSplit/>
          <w:trHeight w:val="1243"/>
        </w:trPr>
        <w:tc>
          <w:tcPr>
            <w:tcW w:w="6036" w:type="dxa"/>
            <w:vMerge/>
            <w:shd w:val="clear" w:color="auto" w:fill="auto"/>
            <w:vAlign w:val="center"/>
          </w:tcPr>
          <w:p w:rsidR="00F97B68" w:rsidRPr="00DB35E1" w:rsidRDefault="00F97B68" w:rsidP="00F97B68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textDirection w:val="btLr"/>
          </w:tcPr>
          <w:p w:rsidR="00F97B68" w:rsidRPr="002E591A" w:rsidRDefault="00F97B68" w:rsidP="008862BD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Sistema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Sistema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Sistema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Sistema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Sistema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Sistema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Sistema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Sistema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Sistema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Sistema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Sistema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Sistema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Sistema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Sistema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Sistema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Sistema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Sistema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Sistema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Sistema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  <w:tc>
          <w:tcPr>
            <w:tcW w:w="393" w:type="dxa"/>
            <w:shd w:val="clear" w:color="auto" w:fill="auto"/>
            <w:textDirection w:val="btLr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ind w:left="113" w:right="113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Sistema</w:t>
            </w:r>
            <w:r w:rsidRPr="002E59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__</w:t>
            </w:r>
          </w:p>
        </w:tc>
      </w:tr>
      <w:tr w:rsidR="00F97B68" w:rsidRPr="00DB35E1" w:rsidTr="00F97B68">
        <w:tc>
          <w:tcPr>
            <w:tcW w:w="6036" w:type="dxa"/>
            <w:shd w:val="clear" w:color="auto" w:fill="5B9BD5" w:themeFill="accent1"/>
            <w:vAlign w:val="center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  <w:r w:rsidRPr="00DB35E1">
              <w:rPr>
                <w:rFonts w:ascii="Verdana" w:hAnsi="Verdana"/>
                <w:b/>
                <w:sz w:val="16"/>
                <w:szCs w:val="16"/>
              </w:rPr>
              <w:t>CADA 3 MESES</w:t>
            </w:r>
          </w:p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97B68" w:rsidRPr="00DB35E1" w:rsidTr="00F97B68">
        <w:tc>
          <w:tcPr>
            <w:tcW w:w="6036" w:type="dxa"/>
            <w:shd w:val="clear" w:color="auto" w:fill="FFFFFF" w:themeFill="background1"/>
            <w:vAlign w:val="center"/>
          </w:tcPr>
          <w:p w:rsidR="00F97B68" w:rsidRPr="00DB35E1" w:rsidRDefault="00F97B68" w:rsidP="008862BD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 w:rsidRPr="008862BD">
              <w:rPr>
                <w:rFonts w:ascii="Verdana" w:hAnsi="Verdana"/>
                <w:sz w:val="16"/>
                <w:szCs w:val="16"/>
              </w:rPr>
              <w:t>Verificación por inspección de todos los elementos, depósitos, válvulas, mandos, alarmas motobombas, accesorios, señales, etc.</w:t>
            </w: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97B68" w:rsidRPr="00DB35E1" w:rsidTr="00F97B68">
        <w:tc>
          <w:tcPr>
            <w:tcW w:w="6036" w:type="dxa"/>
            <w:shd w:val="clear" w:color="auto" w:fill="FFFFFF" w:themeFill="background1"/>
            <w:vAlign w:val="center"/>
          </w:tcPr>
          <w:p w:rsidR="00F97B68" w:rsidRPr="00DB35E1" w:rsidRDefault="00F97B68" w:rsidP="008862BD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 w:rsidRPr="008862BD">
              <w:rPr>
                <w:rFonts w:ascii="Verdana" w:hAnsi="Verdana"/>
                <w:sz w:val="16"/>
                <w:szCs w:val="16"/>
              </w:rPr>
              <w:t>Comprobación del funcionamiento automático y manual de la instalación, de acuerdo con las instrucciones del fabricante o instalador.</w:t>
            </w: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97B68" w:rsidRPr="00DB35E1" w:rsidTr="00F97B68">
        <w:tc>
          <w:tcPr>
            <w:tcW w:w="6036" w:type="dxa"/>
            <w:shd w:val="clear" w:color="auto" w:fill="FFFFFF" w:themeFill="background1"/>
            <w:vAlign w:val="center"/>
          </w:tcPr>
          <w:p w:rsidR="00F97B68" w:rsidRPr="00DB35E1" w:rsidRDefault="00F97B68" w:rsidP="008862BD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 w:rsidRPr="008862BD">
              <w:rPr>
                <w:rFonts w:ascii="Verdana" w:hAnsi="Verdana"/>
                <w:sz w:val="16"/>
                <w:szCs w:val="16"/>
              </w:rPr>
              <w:t xml:space="preserve">Mantenimiento de acumuladores, limpieza de </w:t>
            </w:r>
            <w:proofErr w:type="spellStart"/>
            <w:r w:rsidRPr="008862BD">
              <w:rPr>
                <w:rFonts w:ascii="Verdana" w:hAnsi="Verdana"/>
                <w:sz w:val="16"/>
                <w:szCs w:val="16"/>
              </w:rPr>
              <w:t>bornas</w:t>
            </w:r>
            <w:proofErr w:type="spellEnd"/>
            <w:r w:rsidRPr="008862BD">
              <w:rPr>
                <w:rFonts w:ascii="Verdana" w:hAnsi="Verdana"/>
                <w:sz w:val="16"/>
                <w:szCs w:val="16"/>
              </w:rPr>
              <w:t xml:space="preserve"> (reposición de agua destilada, etc.). Verificación de niveles (combustible, agua, aceite, etc.).</w:t>
            </w: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97B68" w:rsidRPr="00DB35E1" w:rsidTr="00F97B68">
        <w:tc>
          <w:tcPr>
            <w:tcW w:w="6036" w:type="dxa"/>
            <w:shd w:val="clear" w:color="auto" w:fill="FFFFFF" w:themeFill="background1"/>
            <w:vAlign w:val="center"/>
          </w:tcPr>
          <w:p w:rsidR="00F97B68" w:rsidRPr="00DB35E1" w:rsidRDefault="00F97B68" w:rsidP="008862BD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 w:rsidRPr="008862BD">
              <w:rPr>
                <w:rFonts w:ascii="Verdana" w:hAnsi="Verdana"/>
                <w:sz w:val="16"/>
                <w:szCs w:val="16"/>
              </w:rPr>
              <w:t>Verificación de accesibilidad a los elementos, limpieza general, ventilación de salas de bombas, etc.</w:t>
            </w: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97B68" w:rsidRPr="00DB35E1" w:rsidTr="00F97B68">
        <w:tc>
          <w:tcPr>
            <w:tcW w:w="6036" w:type="dxa"/>
            <w:shd w:val="clear" w:color="auto" w:fill="5B9BD5" w:themeFill="accent1"/>
            <w:vAlign w:val="center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  <w:r w:rsidRPr="00DB35E1">
              <w:rPr>
                <w:rFonts w:ascii="Verdana" w:hAnsi="Verdana"/>
                <w:b/>
                <w:sz w:val="16"/>
                <w:szCs w:val="16"/>
              </w:rPr>
              <w:t>CADA 6 MESES</w:t>
            </w:r>
          </w:p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5B9BD5" w:themeFill="accent1"/>
          </w:tcPr>
          <w:p w:rsidR="00F97B68" w:rsidRPr="00DB35E1" w:rsidRDefault="00F97B68" w:rsidP="002E591A">
            <w:pPr>
              <w:pStyle w:val="cuerpotablaizq"/>
              <w:spacing w:before="0" w:beforeAutospacing="0" w:after="0" w:afterAutospacing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97B68" w:rsidRPr="00DB35E1" w:rsidTr="00F97B68">
        <w:tc>
          <w:tcPr>
            <w:tcW w:w="6036" w:type="dxa"/>
            <w:shd w:val="clear" w:color="auto" w:fill="FFFFFF" w:themeFill="background1"/>
            <w:vAlign w:val="center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Accionamiento y engrase de las válvulas. Verificación y ajuste de los prensaestopas</w:t>
            </w:r>
          </w:p>
        </w:tc>
        <w:tc>
          <w:tcPr>
            <w:tcW w:w="393" w:type="dxa"/>
            <w:shd w:val="clear" w:color="auto" w:fill="A6A6A6" w:themeFill="background1" w:themeFillShade="A6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6A6A6" w:themeFill="background1" w:themeFillShade="A6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6A6A6" w:themeFill="background1" w:themeFillShade="A6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6A6A6" w:themeFill="background1" w:themeFillShade="A6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6A6A6" w:themeFill="background1" w:themeFillShade="A6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6A6A6" w:themeFill="background1" w:themeFillShade="A6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6A6A6" w:themeFill="background1" w:themeFillShade="A6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6A6A6" w:themeFill="background1" w:themeFillShade="A6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6A6A6" w:themeFill="background1" w:themeFillShade="A6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6A6A6" w:themeFill="background1" w:themeFillShade="A6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97B68" w:rsidRPr="00DB35E1" w:rsidTr="00F97B68">
        <w:tc>
          <w:tcPr>
            <w:tcW w:w="6036" w:type="dxa"/>
            <w:shd w:val="clear" w:color="auto" w:fill="FFFFFF" w:themeFill="background1"/>
            <w:vAlign w:val="center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Verificación de la velocidad de los motores con diferentes cargas</w:t>
            </w:r>
          </w:p>
        </w:tc>
        <w:tc>
          <w:tcPr>
            <w:tcW w:w="393" w:type="dxa"/>
            <w:shd w:val="clear" w:color="auto" w:fill="A6A6A6" w:themeFill="background1" w:themeFillShade="A6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6A6A6" w:themeFill="background1" w:themeFillShade="A6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6A6A6" w:themeFill="background1" w:themeFillShade="A6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6A6A6" w:themeFill="background1" w:themeFillShade="A6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6A6A6" w:themeFill="background1" w:themeFillShade="A6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6A6A6" w:themeFill="background1" w:themeFillShade="A6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6A6A6" w:themeFill="background1" w:themeFillShade="A6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6A6A6" w:themeFill="background1" w:themeFillShade="A6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6A6A6" w:themeFill="background1" w:themeFillShade="A6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6A6A6" w:themeFill="background1" w:themeFillShade="A6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  <w:tr w:rsidR="00F97B68" w:rsidRPr="00DB35E1" w:rsidTr="00F97B68">
        <w:tc>
          <w:tcPr>
            <w:tcW w:w="6036" w:type="dxa"/>
            <w:shd w:val="clear" w:color="auto" w:fill="FFFFFF" w:themeFill="background1"/>
            <w:vAlign w:val="center"/>
          </w:tcPr>
          <w:p w:rsidR="00F97B68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Comprobación de la alimentación eléctrica, líneas y protecciones</w:t>
            </w:r>
          </w:p>
        </w:tc>
        <w:tc>
          <w:tcPr>
            <w:tcW w:w="393" w:type="dxa"/>
            <w:shd w:val="clear" w:color="auto" w:fill="A6A6A6" w:themeFill="background1" w:themeFillShade="A6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6A6A6" w:themeFill="background1" w:themeFillShade="A6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6A6A6" w:themeFill="background1" w:themeFillShade="A6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6A6A6" w:themeFill="background1" w:themeFillShade="A6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6A6A6" w:themeFill="background1" w:themeFillShade="A6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6A6A6" w:themeFill="background1" w:themeFillShade="A6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6A6A6" w:themeFill="background1" w:themeFillShade="A6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6A6A6" w:themeFill="background1" w:themeFillShade="A6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6A6A6" w:themeFill="background1" w:themeFillShade="A6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6A6A6" w:themeFill="background1" w:themeFillShade="A6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</w:tcPr>
          <w:p w:rsidR="00F97B68" w:rsidRPr="00DB35E1" w:rsidRDefault="00F97B68" w:rsidP="002E591A">
            <w:pPr>
              <w:pStyle w:val="cuerpotablaizq"/>
              <w:spacing w:before="120" w:beforeAutospacing="0" w:after="120" w:afterAutospacing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B35E1" w:rsidRPr="00F97B68" w:rsidRDefault="00DB35E1">
      <w:pPr>
        <w:rPr>
          <w:sz w:val="16"/>
          <w:szCs w:val="16"/>
        </w:rPr>
      </w:pPr>
    </w:p>
    <w:tbl>
      <w:tblPr>
        <w:tblStyle w:val="Tablaconcuadrcula"/>
        <w:tblW w:w="13858" w:type="dxa"/>
        <w:tblLook w:val="04A0" w:firstRow="1" w:lastRow="0" w:firstColumn="1" w:lastColumn="0" w:noHBand="0" w:noVBand="1"/>
      </w:tblPr>
      <w:tblGrid>
        <w:gridCol w:w="13858"/>
      </w:tblGrid>
      <w:tr w:rsidR="002E591A" w:rsidRPr="00DB35E1" w:rsidTr="006807CD">
        <w:tc>
          <w:tcPr>
            <w:tcW w:w="13858" w:type="dxa"/>
            <w:shd w:val="clear" w:color="auto" w:fill="auto"/>
            <w:vAlign w:val="center"/>
          </w:tcPr>
          <w:p w:rsidR="002E591A" w:rsidRPr="00DB35E1" w:rsidRDefault="002E591A" w:rsidP="00F97B68">
            <w:pPr>
              <w:spacing w:before="120" w:after="120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OBSERVACIONES:</w:t>
            </w:r>
          </w:p>
        </w:tc>
      </w:tr>
    </w:tbl>
    <w:p w:rsidR="002E591A" w:rsidRPr="003B04B7" w:rsidRDefault="002E591A">
      <w:pPr>
        <w:rPr>
          <w:sz w:val="8"/>
          <w:szCs w:val="8"/>
        </w:rPr>
      </w:pPr>
      <w:bookmarkStart w:id="0" w:name="_GoBack"/>
      <w:bookmarkEnd w:id="0"/>
    </w:p>
    <w:sectPr w:rsidR="002E591A" w:rsidRPr="003B04B7" w:rsidSect="00F514FC">
      <w:headerReference w:type="default" r:id="rId10"/>
      <w:footerReference w:type="default" r:id="rId11"/>
      <w:pgSz w:w="16838" w:h="11906" w:orient="landscape"/>
      <w:pgMar w:top="1701" w:right="1417" w:bottom="1701" w:left="1417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5E1" w:rsidRDefault="00DB35E1" w:rsidP="00DB35E1">
      <w:r>
        <w:separator/>
      </w:r>
    </w:p>
  </w:endnote>
  <w:endnote w:type="continuationSeparator" w:id="0">
    <w:p w:rsidR="00DB35E1" w:rsidRDefault="00DB35E1" w:rsidP="00DB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4FC" w:rsidRPr="00F514FC" w:rsidRDefault="00CD64A2" w:rsidP="00F514FC">
    <w:pPr>
      <w:pStyle w:val="Piedepgina"/>
    </w:pPr>
    <w:r>
      <w:rPr>
        <w:rFonts w:asciiTheme="majorHAnsi" w:eastAsiaTheme="majorEastAsia" w:hAnsiTheme="majorHAnsi" w:cstheme="majorBidi"/>
        <w:sz w:val="20"/>
        <w:szCs w:val="20"/>
      </w:rPr>
      <w:t xml:space="preserve">Anexo C. </w:t>
    </w:r>
    <w:proofErr w:type="spellStart"/>
    <w:r w:rsidR="00F514FC" w:rsidRPr="00F514FC">
      <w:rPr>
        <w:rFonts w:asciiTheme="majorHAnsi" w:eastAsiaTheme="majorEastAsia" w:hAnsiTheme="majorHAnsi" w:cstheme="majorBidi"/>
        <w:sz w:val="20"/>
        <w:szCs w:val="20"/>
      </w:rPr>
      <w:t>Che</w:t>
    </w:r>
    <w:r w:rsidR="00782AA2">
      <w:rPr>
        <w:rFonts w:asciiTheme="majorHAnsi" w:eastAsiaTheme="majorEastAsia" w:hAnsiTheme="majorHAnsi" w:cstheme="majorBidi"/>
        <w:sz w:val="20"/>
        <w:szCs w:val="20"/>
      </w:rPr>
      <w:t>c</w:t>
    </w:r>
    <w:r w:rsidR="00F514FC" w:rsidRPr="00F514FC">
      <w:rPr>
        <w:rFonts w:asciiTheme="majorHAnsi" w:eastAsiaTheme="majorEastAsia" w:hAnsiTheme="majorHAnsi" w:cstheme="majorBidi"/>
        <w:sz w:val="20"/>
        <w:szCs w:val="20"/>
      </w:rPr>
      <w:t>k</w:t>
    </w:r>
    <w:proofErr w:type="spellEnd"/>
    <w:r w:rsidR="00F514FC" w:rsidRPr="00F514FC">
      <w:rPr>
        <w:rFonts w:asciiTheme="majorHAnsi" w:eastAsiaTheme="majorEastAsia" w:hAnsiTheme="majorHAnsi" w:cstheme="majorBidi"/>
        <w:sz w:val="20"/>
        <w:szCs w:val="20"/>
      </w:rPr>
      <w:t xml:space="preserve"> </w:t>
    </w:r>
    <w:proofErr w:type="spellStart"/>
    <w:r w:rsidR="00F514FC" w:rsidRPr="00F514FC">
      <w:rPr>
        <w:rFonts w:asciiTheme="majorHAnsi" w:eastAsiaTheme="majorEastAsia" w:hAnsiTheme="majorHAnsi" w:cstheme="majorBidi"/>
        <w:sz w:val="20"/>
        <w:szCs w:val="20"/>
      </w:rPr>
      <w:t>list</w:t>
    </w:r>
    <w:proofErr w:type="spellEnd"/>
    <w:r w:rsidR="00F514FC" w:rsidRPr="00F514FC">
      <w:rPr>
        <w:rFonts w:asciiTheme="majorHAnsi" w:eastAsiaTheme="majorEastAsia" w:hAnsiTheme="majorHAnsi" w:cstheme="majorBidi"/>
        <w:sz w:val="20"/>
        <w:szCs w:val="20"/>
      </w:rPr>
      <w:t xml:space="preserve"> “Sistemas de </w:t>
    </w:r>
    <w:r w:rsidR="008862BD">
      <w:rPr>
        <w:rFonts w:asciiTheme="majorHAnsi" w:eastAsiaTheme="majorEastAsia" w:hAnsiTheme="majorHAnsi" w:cstheme="majorBidi"/>
        <w:sz w:val="20"/>
        <w:szCs w:val="20"/>
      </w:rPr>
      <w:t>abastecimiento de agua contra incendios</w:t>
    </w:r>
    <w:r w:rsidR="00F514FC" w:rsidRPr="00F514FC">
      <w:rPr>
        <w:rFonts w:asciiTheme="majorHAnsi" w:eastAsiaTheme="majorEastAsia" w:hAnsiTheme="majorHAnsi" w:cstheme="majorBidi"/>
        <w:sz w:val="20"/>
        <w:szCs w:val="20"/>
      </w:rPr>
      <w:t>”</w:t>
    </w:r>
    <w:r w:rsidR="00F514FC" w:rsidRPr="00F514F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D51D00" id="Rectángulo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AtekZKrgIAALkFAAAOAAAAAAAA&#10;AAAAAAAAAC4CAABkcnMvZTJvRG9jLnhtbFBLAQItABQABgAIAAAAIQCNy++K3AAAAAcBAAAPAAAA&#10;AAAAAAAAAAAAAAg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 w:rsidR="00F514FC" w:rsidRPr="00F514FC">
      <w:rPr>
        <w:lang w:val="es-ES_tradnl"/>
      </w:rPr>
      <w:tab/>
    </w:r>
    <w:r w:rsidR="00F514FC" w:rsidRPr="00F514FC">
      <w:rPr>
        <w:lang w:val="es-ES_tradnl"/>
      </w:rPr>
      <w:tab/>
    </w:r>
    <w:r w:rsidR="00F514FC" w:rsidRPr="00F514FC">
      <w:rPr>
        <w:lang w:val="es-ES_tradnl"/>
      </w:rPr>
      <w:tab/>
    </w:r>
    <w:r w:rsidR="00F514FC" w:rsidRPr="00F514FC">
      <w:rPr>
        <w:lang w:val="es-ES_tradnl"/>
      </w:rPr>
      <w:tab/>
    </w:r>
    <w:r w:rsidR="00F514FC" w:rsidRPr="00F514FC">
      <w:rPr>
        <w:lang w:val="es-ES_tradnl"/>
      </w:rPr>
      <w:tab/>
    </w:r>
    <w:r w:rsidR="00F514FC" w:rsidRPr="00F514FC">
      <w:rPr>
        <w:lang w:val="es-ES_tradnl"/>
      </w:rPr>
      <w:tab/>
    </w:r>
    <w:r w:rsidR="00F514FC" w:rsidRPr="00F514FC">
      <w:rPr>
        <w:lang w:val="es-ES_tradnl"/>
      </w:rPr>
      <w:tab/>
    </w:r>
    <w:r w:rsidR="00F514FC" w:rsidRPr="00F514FC">
      <w:t xml:space="preserve"> </w:t>
    </w:r>
    <w:r w:rsidR="00F514FC" w:rsidRPr="00F514FC">
      <w:rPr>
        <w:rFonts w:asciiTheme="majorHAnsi" w:eastAsiaTheme="majorEastAsia" w:hAnsiTheme="majorHAnsi" w:cstheme="majorBidi"/>
        <w:sz w:val="20"/>
        <w:szCs w:val="20"/>
      </w:rPr>
      <w:t xml:space="preserve">pág. </w:t>
    </w:r>
    <w:r w:rsidR="00F514FC" w:rsidRPr="00F514FC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="00F514FC" w:rsidRPr="00F514FC">
      <w:rPr>
        <w:sz w:val="20"/>
        <w:szCs w:val="20"/>
      </w:rPr>
      <w:instrText>PAGE    \* MERGEFORMAT</w:instrText>
    </w:r>
    <w:r w:rsidR="00F514FC" w:rsidRPr="00F514FC">
      <w:rPr>
        <w:rFonts w:asciiTheme="minorHAnsi" w:eastAsiaTheme="minorEastAsia" w:hAnsiTheme="minorHAnsi" w:cstheme="minorBidi"/>
        <w:sz w:val="20"/>
        <w:szCs w:val="20"/>
      </w:rPr>
      <w:fldChar w:fldCharType="separate"/>
    </w:r>
    <w:r w:rsidR="003B04B7" w:rsidRPr="003B04B7">
      <w:rPr>
        <w:rFonts w:asciiTheme="majorHAnsi" w:eastAsiaTheme="majorEastAsia" w:hAnsiTheme="majorHAnsi" w:cstheme="majorBidi"/>
        <w:noProof/>
        <w:sz w:val="20"/>
        <w:szCs w:val="20"/>
      </w:rPr>
      <w:t>-</w:t>
    </w:r>
    <w:r w:rsidR="003B04B7">
      <w:rPr>
        <w:noProof/>
        <w:sz w:val="20"/>
        <w:szCs w:val="20"/>
      </w:rPr>
      <w:t xml:space="preserve"> 1 -</w:t>
    </w:r>
    <w:r w:rsidR="00F514FC" w:rsidRPr="00F514FC">
      <w:rPr>
        <w:rFonts w:asciiTheme="majorHAnsi" w:eastAsiaTheme="majorEastAsia" w:hAnsiTheme="majorHAnsi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5E1" w:rsidRDefault="00DB35E1" w:rsidP="00DB35E1">
      <w:r>
        <w:separator/>
      </w:r>
    </w:p>
  </w:footnote>
  <w:footnote w:type="continuationSeparator" w:id="0">
    <w:p w:rsidR="00DB35E1" w:rsidRDefault="00DB35E1" w:rsidP="00DB3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2469" w:type="dxa"/>
      <w:tblLook w:val="04A0" w:firstRow="1" w:lastRow="0" w:firstColumn="1" w:lastColumn="0" w:noHBand="0" w:noVBand="1"/>
    </w:tblPr>
    <w:tblGrid>
      <w:gridCol w:w="12469"/>
    </w:tblGrid>
    <w:tr w:rsidR="00DB35E1" w:rsidRPr="007A42CA" w:rsidTr="002E591A">
      <w:tc>
        <w:tcPr>
          <w:tcW w:w="12469" w:type="dxa"/>
          <w:shd w:val="clear" w:color="auto" w:fill="000000" w:themeFill="text1"/>
        </w:tcPr>
        <w:p w:rsidR="00DB35E1" w:rsidRDefault="00DB35E1" w:rsidP="008862BD">
          <w:pPr>
            <w:pStyle w:val="NormalWeb"/>
            <w:spacing w:before="119" w:beforeAutospacing="0" w:after="119" w:line="240" w:lineRule="auto"/>
            <w:rPr>
              <w:rFonts w:ascii="Verdana" w:hAnsi="Verdana"/>
              <w:b/>
              <w:sz w:val="20"/>
              <w:szCs w:val="20"/>
            </w:rPr>
          </w:pPr>
          <w:r w:rsidRPr="00B855CD">
            <w:rPr>
              <w:rFonts w:ascii="Verdana" w:hAnsi="Verdana"/>
              <w:sz w:val="22"/>
              <w:szCs w:val="22"/>
            </w:rPr>
            <w:t>Instalaciones de protección contra incendios</w:t>
          </w:r>
          <w:r>
            <w:rPr>
              <w:rFonts w:ascii="Verdana" w:hAnsi="Verdana"/>
              <w:sz w:val="22"/>
              <w:szCs w:val="22"/>
            </w:rPr>
            <w:t xml:space="preserve"> / </w:t>
          </w:r>
          <w:r>
            <w:rPr>
              <w:rFonts w:ascii="Verdana" w:hAnsi="Verdana"/>
              <w:b/>
              <w:sz w:val="20"/>
              <w:szCs w:val="20"/>
            </w:rPr>
            <w:t>“S</w:t>
          </w:r>
          <w:r w:rsidRPr="00D4024C">
            <w:rPr>
              <w:rFonts w:ascii="Verdana" w:hAnsi="Verdana"/>
              <w:b/>
              <w:sz w:val="20"/>
              <w:szCs w:val="20"/>
            </w:rPr>
            <w:t xml:space="preserve">istemas de </w:t>
          </w:r>
          <w:r w:rsidR="008862BD">
            <w:rPr>
              <w:rFonts w:ascii="Verdana" w:hAnsi="Verdana"/>
              <w:b/>
              <w:sz w:val="20"/>
              <w:szCs w:val="20"/>
            </w:rPr>
            <w:t>abastecimiento de agua contra incendios</w:t>
          </w:r>
          <w:r>
            <w:rPr>
              <w:rFonts w:ascii="Verdana" w:hAnsi="Verdana"/>
              <w:b/>
              <w:sz w:val="20"/>
              <w:szCs w:val="20"/>
            </w:rPr>
            <w:t>”</w:t>
          </w:r>
        </w:p>
      </w:tc>
    </w:tr>
  </w:tbl>
  <w:p w:rsidR="00DB35E1" w:rsidRDefault="008862BD">
    <w:pPr>
      <w:pStyle w:val="Encabezado"/>
    </w:pPr>
    <w:r w:rsidRPr="008862BD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8072755</wp:posOffset>
          </wp:positionH>
          <wp:positionV relativeFrom="paragraph">
            <wp:posOffset>-382905</wp:posOffset>
          </wp:positionV>
          <wp:extent cx="1018540" cy="647700"/>
          <wp:effectExtent l="0" t="0" r="0" b="0"/>
          <wp:wrapTight wrapText="bothSides">
            <wp:wrapPolygon edited="0">
              <wp:start x="0" y="0"/>
              <wp:lineTo x="0" y="20965"/>
              <wp:lineTo x="21007" y="20965"/>
              <wp:lineTo x="21007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53033"/>
    <w:multiLevelType w:val="hybridMultilevel"/>
    <w:tmpl w:val="904E905E"/>
    <w:lvl w:ilvl="0" w:tplc="18EA0ED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151F5"/>
    <w:multiLevelType w:val="hybridMultilevel"/>
    <w:tmpl w:val="D13C94FC"/>
    <w:lvl w:ilvl="0" w:tplc="18EA0EDE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9DF"/>
    <w:rsid w:val="002E591A"/>
    <w:rsid w:val="003B04B7"/>
    <w:rsid w:val="004963B2"/>
    <w:rsid w:val="00782AA2"/>
    <w:rsid w:val="008862BD"/>
    <w:rsid w:val="009649DF"/>
    <w:rsid w:val="00B07D53"/>
    <w:rsid w:val="00C14EF2"/>
    <w:rsid w:val="00CD64A2"/>
    <w:rsid w:val="00DB35E1"/>
    <w:rsid w:val="00E6398E"/>
    <w:rsid w:val="00F514FC"/>
    <w:rsid w:val="00F9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EAA0BA0C-6992-4359-B243-2335967E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5E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B35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B35E1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B35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35E1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DB35E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B35E1"/>
    <w:pPr>
      <w:spacing w:before="100" w:beforeAutospacing="1" w:after="142" w:line="288" w:lineRule="auto"/>
    </w:pPr>
  </w:style>
  <w:style w:type="table" w:styleId="Tablaconcuadrcula">
    <w:name w:val="Table Grid"/>
    <w:basedOn w:val="Tablanormal"/>
    <w:rsid w:val="00DB3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tablaizq">
    <w:name w:val="cuerpo_tabla_izq"/>
    <w:basedOn w:val="Normal"/>
    <w:rsid w:val="00DB35E1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3B04B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B0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CA451-957E-4B37-9EF8-9F041B2C4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193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X054663</dc:creator>
  <cp:keywords/>
  <dc:description/>
  <cp:lastModifiedBy>X054663</cp:lastModifiedBy>
  <cp:revision>7</cp:revision>
  <cp:lastPrinted>2025-02-24T08:40:00Z</cp:lastPrinted>
  <dcterms:created xsi:type="dcterms:W3CDTF">2025-02-19T09:17:00Z</dcterms:created>
  <dcterms:modified xsi:type="dcterms:W3CDTF">2025-02-24T08:40:00Z</dcterms:modified>
</cp:coreProperties>
</file>