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40"/>
        <w:gridCol w:w="819"/>
      </w:tblGrid>
      <w:tr w:rsidR="001272AB" w:rsidRPr="00452FB9" w:rsidTr="0031109C">
        <w:tc>
          <w:tcPr>
            <w:tcW w:w="7655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452FB9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DISPOSICIONES MÍNIMAS GENERALES APLICABLES A LOS EQUIPOS DE TRABAJO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452FB9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452FB9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452FB9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452FB9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452FB9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452FB9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*</w:t>
            </w:r>
          </w:p>
        </w:tc>
      </w:tr>
      <w:tr w:rsidR="001272AB" w:rsidRPr="00E77FFE" w:rsidTr="0031109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ORGANOS DE ACCIONAMIENTO Y PUESTO DE MANDO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Los órganos de accionamiento</w:t>
            </w:r>
            <w:r>
              <w:rPr>
                <w:rFonts w:ascii="Verdana" w:hAnsi="Verdana"/>
                <w:sz w:val="18"/>
                <w:szCs w:val="18"/>
              </w:rPr>
              <w:t xml:space="preserve"> son claramente visibles e identificables.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Los órganos de accionamiento e</w:t>
            </w:r>
            <w:r w:rsidRPr="00F65605">
              <w:rPr>
                <w:rFonts w:ascii="Verdana" w:hAnsi="Verdana"/>
                <w:sz w:val="18"/>
                <w:szCs w:val="18"/>
              </w:rPr>
              <w:t>stán situados fuera de las zonas peligrosas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 xml:space="preserve">Está controlada </w:t>
            </w:r>
            <w:r>
              <w:rPr>
                <w:rFonts w:ascii="Verdana" w:hAnsi="Verdana"/>
                <w:sz w:val="18"/>
                <w:szCs w:val="18"/>
              </w:rPr>
              <w:t>la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manipulación involuntaria</w:t>
            </w:r>
            <w:r>
              <w:rPr>
                <w:rFonts w:ascii="Verdana" w:hAnsi="Verdana"/>
                <w:sz w:val="18"/>
                <w:szCs w:val="18"/>
              </w:rPr>
              <w:t xml:space="preserve"> de los órganos de accionamiento.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El puesto de mando ofrece visibilidad total del conjunto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En caso contrario, existe aviso que preceda a la puesta en marcha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Los sistemas de mando son seguros (resistencia a fallos, perturbaciones…)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La puesta en marcha solo se puede producir por accionamiento voluntario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un órgano de accionamiento que permite la parada total en condiciones de seguridad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La orden de parada es prioritaria sobre la puesta en marcha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En los casos necesarios, existe parada de emergencia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31109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RESGUARDOS Y DISPOSITIVOS DE PROTECCION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protección adecuada ante caída de objetos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protección adecuada contra proyecciones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dispositivo adecuado de captación o extracción localizada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La máquina está correctamente estabilizada (fijación u otros medios).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 c</w:t>
            </w:r>
            <w:r w:rsidRPr="00F65605">
              <w:rPr>
                <w:rFonts w:ascii="Verdana" w:hAnsi="Verdana"/>
                <w:sz w:val="18"/>
                <w:szCs w:val="18"/>
              </w:rPr>
              <w:t>aso necesario, las condiciones de acceso y permanencia sobre ello son seguras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Existen medidas adecuadas de protección ante estallido o rotura de elementos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Existen resguardos o dispositivos suficientes y adecuados ante riesgos de accidente por contacto mecánico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31109C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Consideraciones sobre resguardos y dispositivos de protección</w:t>
            </w: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Son sólidos y resistentes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Sin añadir riesgos suplementarios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Se imposibilita su anulación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Se han situado a suficiente distancia de la zona peligrosa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Permiten la visibilidad (observación) del ciclo de trabajo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Permiten las intervenciones indispensables sin ser desmontados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31109C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OTRAS DISPOSICIONES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 adecuada la iluminación de las zonas y puestos de trabajo o mantenimiento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Los dispositivos de alarma son perceptibles y comprensibles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>
      <w:r>
        <w:br w:type="page"/>
      </w:r>
    </w:p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lastRenderedPageBreak/>
              <w:t>Existen dispositivos claramente identificables para separar cada fuente de energía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han incorporado las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advertencias y señalizaciones indispensables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Están controlados los riesgos de incendio, calentamiento o emanaciones de la máquina.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controlado el riesgo de contacto o proximidad de los trabajadores con partes calientes o muy frías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Está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F65605">
              <w:rPr>
                <w:rFonts w:ascii="Verdana" w:hAnsi="Verdana"/>
                <w:sz w:val="18"/>
                <w:szCs w:val="18"/>
              </w:rPr>
              <w:t>condicionada para trabajar en condiciones ambientales (climatológicas o industriales) agresivas.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controlado el riesgo de explosión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controlado el riesgo de contacto eléctrico directo, indirecto y arco eléctrico.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Se limita, en la medida de lo posible, la generación y propagación de ruido, vibraciones y radiaciones.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controlado el riesgo de contacto accidental ante almacenamiento o trabajo con líquidos corrosivos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1272AB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controlado el riesgo de contacto accidental ante almacenamiento o trabajo con líquidos a alta temperatura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/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31109C" w:rsidRPr="00AD4B52" w:rsidTr="0031109C">
        <w:tc>
          <w:tcPr>
            <w:tcW w:w="7655" w:type="dxa"/>
            <w:shd w:val="clear" w:color="auto" w:fill="ED7D31"/>
          </w:tcPr>
          <w:p w:rsidR="0031109C" w:rsidRPr="00AD4B52" w:rsidRDefault="0031109C" w:rsidP="0031109C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AD4B52">
              <w:rPr>
                <w:rFonts w:ascii="Verdana" w:hAnsi="Verdana"/>
                <w:b/>
                <w:color w:val="FFFFFF"/>
                <w:sz w:val="20"/>
                <w:szCs w:val="20"/>
              </w:rPr>
              <w:t>HERRAMIENTA</w:t>
            </w: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S</w:t>
            </w:r>
            <w:r w:rsidRPr="00AD4B52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MANUAL</w:t>
            </w: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ES</w:t>
            </w:r>
          </w:p>
        </w:tc>
        <w:tc>
          <w:tcPr>
            <w:tcW w:w="709" w:type="dxa"/>
            <w:shd w:val="clear" w:color="auto" w:fill="ED7D31"/>
          </w:tcPr>
          <w:p w:rsidR="0031109C" w:rsidRPr="00F65605" w:rsidRDefault="0031109C" w:rsidP="0031109C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ED7D31"/>
          </w:tcPr>
          <w:p w:rsidR="0031109C" w:rsidRPr="00F65605" w:rsidRDefault="0031109C" w:rsidP="0031109C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ED7D31"/>
          </w:tcPr>
          <w:p w:rsidR="0031109C" w:rsidRPr="00F65605" w:rsidRDefault="0031109C" w:rsidP="0031109C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Están construidas con materiales resistentes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La unión entre sus elementos es firme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evitando las roturas y proyecciones de los mismos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Los mangos y empuñaduras son de dimensiones adecuadas y seguras (</w:t>
            </w:r>
            <w:r>
              <w:rPr>
                <w:rFonts w:ascii="Verdana" w:hAnsi="Verdana"/>
                <w:sz w:val="18"/>
                <w:szCs w:val="18"/>
              </w:rPr>
              <w:t xml:space="preserve">sin </w:t>
            </w:r>
            <w:r w:rsidRPr="00F65605">
              <w:rPr>
                <w:rFonts w:ascii="Verdana" w:hAnsi="Verdana"/>
                <w:sz w:val="18"/>
                <w:szCs w:val="18"/>
              </w:rPr>
              <w:t>bordes agudos, superficies resbaladizas…)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>
      <w:pPr>
        <w:spacing w:before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F65605" w:rsidTr="0031109C">
        <w:tc>
          <w:tcPr>
            <w:tcW w:w="7655" w:type="dxa"/>
            <w:shd w:val="clear" w:color="auto" w:fill="ED7D31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DISPOSICIONES ADICIONALES P</w:t>
            </w: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ARA MÁQUINAS MÓVILES (AUTOMOTORA</w:t>
            </w: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S O NO)</w:t>
            </w:r>
          </w:p>
        </w:tc>
        <w:tc>
          <w:tcPr>
            <w:tcW w:w="709" w:type="dxa"/>
            <w:shd w:val="clear" w:color="auto" w:fill="ED7D31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ED7D31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ED7D31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Se reducen los riesgos durante el desplazamiento para los trabajadores transportados (incluido el riesgo de contacto de los trabajadores con elementos móviles: ruedas, orugas…)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Existen medios que impiden el bloqueo imprevisto de los elementos de transmisión de energía entre un equipo de trabajo móvil y sus accesorios o remolques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Existen medios de fijación de los sistemas de transmisión de energía entre equipos de trabajo móviles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bottom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 c</w:t>
            </w:r>
            <w:r w:rsidRPr="00F65605">
              <w:rPr>
                <w:rFonts w:ascii="Verdana" w:hAnsi="Verdana"/>
                <w:sz w:val="18"/>
                <w:szCs w:val="18"/>
              </w:rPr>
              <w:t>aso de existir trabajadores transportados, se limita el riesgo de vuelco con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01129F">
              <w:rPr>
                <w:rFonts w:ascii="Verdana" w:hAnsi="Verdana"/>
                <w:i/>
                <w:sz w:val="16"/>
                <w:szCs w:val="16"/>
              </w:rPr>
              <w:t>(si la respuesta es afirmativa, indicar cu</w:t>
            </w:r>
            <w:r>
              <w:rPr>
                <w:rFonts w:ascii="Verdana" w:hAnsi="Verdana"/>
                <w:i/>
                <w:sz w:val="16"/>
                <w:szCs w:val="16"/>
              </w:rPr>
              <w:t>á</w:t>
            </w:r>
            <w:r w:rsidRPr="0001129F">
              <w:rPr>
                <w:rFonts w:ascii="Verdana" w:hAnsi="Verdana"/>
                <w:i/>
                <w:sz w:val="16"/>
                <w:szCs w:val="16"/>
              </w:rPr>
              <w:t>l)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1. Estructura de protección que impida más de ¼ de vuelta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2. Estructura que garantice un espacio suficiente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3. Cualquier otro dispositivo de alcance equivalente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sistema de retención de trabajador/es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F65605">
              <w:rPr>
                <w:rFonts w:ascii="Verdana" w:hAnsi="Verdana"/>
                <w:sz w:val="18"/>
                <w:szCs w:val="18"/>
              </w:rPr>
              <w:t>a carretilla elevadora</w:t>
            </w:r>
            <w:r>
              <w:rPr>
                <w:rFonts w:ascii="Verdana" w:hAnsi="Verdana"/>
                <w:sz w:val="18"/>
                <w:szCs w:val="18"/>
              </w:rPr>
              <w:t xml:space="preserve"> dispone de medidas que limiten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el riesgo de vuelco </w:t>
            </w:r>
            <w:r w:rsidRPr="0001129F">
              <w:rPr>
                <w:rFonts w:ascii="Verdana" w:hAnsi="Verdana"/>
                <w:i/>
                <w:sz w:val="16"/>
                <w:szCs w:val="16"/>
              </w:rPr>
              <w:t>(si la respuesta es afirmativa, indicar cu</w:t>
            </w:r>
            <w:r>
              <w:rPr>
                <w:rFonts w:ascii="Verdana" w:hAnsi="Verdana"/>
                <w:i/>
                <w:sz w:val="16"/>
                <w:szCs w:val="16"/>
              </w:rPr>
              <w:t>á</w:t>
            </w:r>
            <w:r w:rsidRPr="0001129F">
              <w:rPr>
                <w:rFonts w:ascii="Verdana" w:hAnsi="Verdana"/>
                <w:i/>
                <w:sz w:val="16"/>
                <w:szCs w:val="16"/>
              </w:rPr>
              <w:t>l)</w:t>
            </w:r>
            <w:r w:rsidRPr="00F65605">
              <w:rPr>
                <w:rFonts w:ascii="Verdana" w:hAnsi="Verdana"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lastRenderedPageBreak/>
              <w:t>1. Cabina para el conductor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2. Estructura que impida el vuelco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3. Estructura q</w:t>
            </w:r>
            <w:r>
              <w:rPr>
                <w:rFonts w:ascii="Verdana" w:hAnsi="Verdana"/>
                <w:sz w:val="18"/>
                <w:szCs w:val="18"/>
              </w:rPr>
              <w:t>ue garantice espacio suficiente.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4. Estructura que mantenga al trabajador sobre el asiento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Dispone de m</w:t>
            </w:r>
            <w:r w:rsidRPr="00F65605">
              <w:rPr>
                <w:rFonts w:ascii="Verdana" w:hAnsi="Verdana"/>
                <w:sz w:val="18"/>
                <w:szCs w:val="18"/>
              </w:rPr>
              <w:t>edios que eviten una puesta en marcha no autorizada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 xml:space="preserve">En caso de discurrir sobre raíles, </w:t>
            </w:r>
            <w:r>
              <w:rPr>
                <w:rFonts w:ascii="Verdana" w:hAnsi="Verdana"/>
                <w:sz w:val="18"/>
                <w:szCs w:val="18"/>
              </w:rPr>
              <w:t xml:space="preserve">dispone de </w:t>
            </w:r>
            <w:r w:rsidRPr="00F65605">
              <w:rPr>
                <w:rFonts w:ascii="Verdana" w:hAnsi="Verdana"/>
                <w:sz w:val="18"/>
                <w:szCs w:val="18"/>
              </w:rPr>
              <w:t>medios que eviten su colisión con otro similar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Dispone de d</w:t>
            </w:r>
            <w:r w:rsidRPr="00F65605">
              <w:rPr>
                <w:rFonts w:ascii="Verdana" w:hAnsi="Verdana"/>
                <w:sz w:val="18"/>
                <w:szCs w:val="18"/>
              </w:rPr>
              <w:t>ispositivo de frenado y parada y, de ser necesario, dispositivo de emergencia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Dispone de d</w:t>
            </w:r>
            <w:r w:rsidRPr="00F65605">
              <w:rPr>
                <w:rFonts w:ascii="Verdana" w:hAnsi="Verdana"/>
                <w:sz w:val="18"/>
                <w:szCs w:val="18"/>
              </w:rPr>
              <w:t>ispositivos auxiliares para mejorar la visibilidad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Dispone de d</w:t>
            </w:r>
            <w:r w:rsidRPr="00F65605">
              <w:rPr>
                <w:rFonts w:ascii="Verdana" w:hAnsi="Verdana"/>
                <w:sz w:val="18"/>
                <w:szCs w:val="18"/>
              </w:rPr>
              <w:t>ispositivo de iluminación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Dispone de d</w:t>
            </w:r>
            <w:r w:rsidRPr="00F65605">
              <w:rPr>
                <w:rFonts w:ascii="Verdana" w:hAnsi="Verdana"/>
                <w:sz w:val="18"/>
                <w:szCs w:val="18"/>
              </w:rPr>
              <w:t>ispositivos de lucha contra incendios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Si se maneja a distancia, se para automáticamente cuando se excede el campo de control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Si se maneja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a distancia, dispone de dispositivos de protección contra choques con o aprisionamiento de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Dispone de señalización acústica de emergencia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>
      <w:pPr>
        <w:spacing w:before="120"/>
        <w:rPr>
          <w:rFonts w:ascii="Verdana" w:hAnsi="Verdana"/>
          <w:sz w:val="20"/>
          <w:szCs w:val="20"/>
        </w:rPr>
      </w:pPr>
    </w:p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3B2D36" w:rsidTr="0031109C">
        <w:tc>
          <w:tcPr>
            <w:tcW w:w="7655" w:type="dxa"/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DISPOSICIONES ADICIONALES PARA MÁQUINAS DE ELEVACIÓN DE CARGAS</w:t>
            </w:r>
          </w:p>
        </w:tc>
        <w:tc>
          <w:tcPr>
            <w:tcW w:w="709" w:type="dxa"/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Está garantizada su solidez y estabilidad durante el empleo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Existe una indicación visible de su carga nominal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Los accesorios de elevación están marcados de tal forma que se puedan identificar las características esenciales para un uso seguro.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Si el equipo no está destinado a la elevación de trabajadores, existe una señalización adecuada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 xml:space="preserve">En los equipos de trabajo instalados de forma permanente, está controlado el riesgo de </w:t>
            </w:r>
            <w:r>
              <w:rPr>
                <w:rFonts w:ascii="Verdana" w:hAnsi="Verdana"/>
                <w:sz w:val="18"/>
                <w:szCs w:val="18"/>
              </w:rPr>
              <w:t>caída de la carga y su balanceo.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 xml:space="preserve">Caso de máquinas con </w:t>
            </w:r>
            <w:r>
              <w:rPr>
                <w:rFonts w:ascii="Verdana" w:hAnsi="Verdana"/>
                <w:sz w:val="18"/>
                <w:szCs w:val="18"/>
              </w:rPr>
              <w:t>trabajadores transportados, está</w:t>
            </w:r>
            <w:r w:rsidRPr="00F65605">
              <w:rPr>
                <w:rFonts w:ascii="Verdana" w:hAnsi="Verdana"/>
                <w:sz w:val="18"/>
                <w:szCs w:val="18"/>
              </w:rPr>
              <w:t xml:space="preserve"> controlado:</w:t>
            </w:r>
          </w:p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1. El riesgo de caída del habitáculo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2. El riesgo de caída del operario fuera del habitáculo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  <w:bottom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>3. Los riesgos de aplastamiento, aprisionamiento o choque del usuario con objetos.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F65605" w:rsidTr="0031109C">
        <w:tc>
          <w:tcPr>
            <w:tcW w:w="7655" w:type="dxa"/>
            <w:tcBorders>
              <w:top w:val="nil"/>
            </w:tcBorders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F65605">
              <w:rPr>
                <w:rFonts w:ascii="Verdana" w:hAnsi="Verdana"/>
                <w:sz w:val="18"/>
                <w:szCs w:val="18"/>
              </w:rPr>
              <w:t xml:space="preserve">4. El riesgo de quedar bloqueado en el habitáculo </w:t>
            </w:r>
            <w:r>
              <w:rPr>
                <w:rFonts w:ascii="Verdana" w:hAnsi="Verdana"/>
                <w:sz w:val="18"/>
                <w:szCs w:val="18"/>
              </w:rPr>
              <w:t xml:space="preserve">en </w:t>
            </w:r>
            <w:r w:rsidRPr="00F65605">
              <w:rPr>
                <w:rFonts w:ascii="Verdana" w:hAnsi="Verdana"/>
                <w:sz w:val="18"/>
                <w:szCs w:val="18"/>
              </w:rPr>
              <w:t>caso de accidente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F65605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1109C" w:rsidRDefault="0031109C" w:rsidP="001272AB">
      <w:pPr>
        <w:spacing w:before="120" w:after="240"/>
        <w:jc w:val="both"/>
        <w:rPr>
          <w:rFonts w:ascii="Arial" w:hAnsi="Arial" w:cs="Arial"/>
          <w:i/>
          <w:sz w:val="16"/>
          <w:szCs w:val="16"/>
        </w:rPr>
      </w:pPr>
    </w:p>
    <w:p w:rsidR="001272AB" w:rsidRDefault="001272AB" w:rsidP="0031109C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  <w:r w:rsidRPr="00F65605">
        <w:rPr>
          <w:rFonts w:ascii="Arial" w:hAnsi="Arial" w:cs="Arial"/>
          <w:i/>
          <w:sz w:val="16"/>
          <w:szCs w:val="16"/>
        </w:rPr>
        <w:t xml:space="preserve">Cualquier </w:t>
      </w:r>
      <w:r>
        <w:rPr>
          <w:rFonts w:ascii="Arial" w:hAnsi="Arial" w:cs="Arial"/>
          <w:i/>
          <w:sz w:val="16"/>
          <w:szCs w:val="16"/>
        </w:rPr>
        <w:t>incumplimiento (con el R.D. 1215/97) detectado</w:t>
      </w:r>
      <w:r w:rsidRPr="00F65605">
        <w:rPr>
          <w:rFonts w:ascii="Arial" w:hAnsi="Arial" w:cs="Arial"/>
          <w:i/>
          <w:sz w:val="16"/>
          <w:szCs w:val="16"/>
        </w:rPr>
        <w:t xml:space="preserve"> mediante la aplicación de este anexo</w:t>
      </w:r>
      <w:r>
        <w:rPr>
          <w:rFonts w:ascii="Arial" w:hAnsi="Arial" w:cs="Arial"/>
          <w:i/>
          <w:sz w:val="16"/>
          <w:szCs w:val="16"/>
        </w:rPr>
        <w:t>,</w:t>
      </w:r>
      <w:r w:rsidRPr="00F65605">
        <w:rPr>
          <w:rFonts w:ascii="Arial" w:hAnsi="Arial" w:cs="Arial"/>
          <w:i/>
          <w:sz w:val="16"/>
          <w:szCs w:val="16"/>
        </w:rPr>
        <w:t xml:space="preserve"> debe ir asociado a la posterior evaluación del riesgo, planificación e implantación de medidas preventivas oportunas y verificación de la adecuación del </w:t>
      </w:r>
      <w:r w:rsidRPr="00A90D86">
        <w:rPr>
          <w:rFonts w:ascii="Arial" w:hAnsi="Arial" w:cs="Arial"/>
          <w:i/>
          <w:sz w:val="16"/>
          <w:szCs w:val="16"/>
        </w:rPr>
        <w:t>equi</w:t>
      </w:r>
      <w:r w:rsidR="0031109C">
        <w:rPr>
          <w:rFonts w:ascii="Arial" w:hAnsi="Arial" w:cs="Arial"/>
          <w:i/>
          <w:sz w:val="16"/>
          <w:szCs w:val="16"/>
        </w:rPr>
        <w:t>po</w:t>
      </w:r>
      <w:r w:rsidRPr="00A90D86">
        <w:rPr>
          <w:rFonts w:ascii="Arial" w:hAnsi="Arial" w:cs="Arial"/>
          <w:i/>
          <w:sz w:val="16"/>
          <w:szCs w:val="16"/>
        </w:rPr>
        <w:t>.</w:t>
      </w:r>
    </w:p>
    <w:p w:rsidR="001272AB" w:rsidRPr="00F65605" w:rsidRDefault="001272AB" w:rsidP="0031109C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N.P.: No procede.</w:t>
      </w:r>
    </w:p>
    <w:p w:rsidR="001272AB" w:rsidRDefault="001272AB" w:rsidP="001272AB">
      <w:pPr>
        <w:spacing w:before="120"/>
        <w:jc w:val="both"/>
        <w:rPr>
          <w:rFonts w:ascii="Verdana" w:hAnsi="Verdana"/>
          <w:sz w:val="20"/>
          <w:szCs w:val="20"/>
        </w:rPr>
      </w:pPr>
    </w:p>
    <w:sectPr w:rsidR="001272AB" w:rsidSect="0031109C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NAJ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1272AB" w:rsidRDefault="00F514FC" w:rsidP="003863F8">
    <w:pPr>
      <w:pStyle w:val="Piedepgina"/>
      <w:tabs>
        <w:tab w:val="clear" w:pos="8504"/>
      </w:tabs>
      <w:ind w:left="-709"/>
      <w:rPr>
        <w:rFonts w:asciiTheme="majorHAnsi" w:eastAsiaTheme="majorEastAsia" w:hAnsiTheme="majorHAnsi" w:cstheme="majorBidi"/>
        <w:sz w:val="20"/>
        <w:szCs w:val="20"/>
      </w:rPr>
    </w:pPr>
    <w:proofErr w:type="spellStart"/>
    <w:r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2C4CDB">
      <w:rPr>
        <w:rFonts w:asciiTheme="majorHAnsi" w:eastAsiaTheme="majorEastAsia" w:hAnsiTheme="majorHAnsi" w:cstheme="majorBidi"/>
        <w:sz w:val="20"/>
        <w:szCs w:val="20"/>
      </w:rPr>
      <w:t>c</w:t>
    </w:r>
    <w:r w:rsidR="001272AB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1272AB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1272AB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1272AB">
      <w:rPr>
        <w:rFonts w:asciiTheme="majorHAnsi" w:eastAsiaTheme="majorEastAsia" w:hAnsiTheme="majorHAnsi" w:cstheme="majorBidi"/>
        <w:sz w:val="20"/>
        <w:szCs w:val="20"/>
      </w:rPr>
      <w:t xml:space="preserve"> “Disposiciones mínimas aplicables a los equipos de trabajo” (anexo I del R.D.1215/1997)</w:t>
    </w:r>
    <w:r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1272AB">
      <w:rPr>
        <w:rFonts w:asciiTheme="majorHAnsi" w:eastAsiaTheme="majorEastAsia" w:hAnsiTheme="majorHAnsi" w:cstheme="majorBidi"/>
        <w:sz w:val="20"/>
        <w:szCs w:val="20"/>
      </w:rPr>
      <w:tab/>
    </w:r>
    <w:r w:rsidR="003863F8">
      <w:rPr>
        <w:rFonts w:asciiTheme="majorHAnsi" w:eastAsiaTheme="majorEastAsia" w:hAnsiTheme="majorHAnsi" w:cstheme="majorBidi"/>
        <w:sz w:val="20"/>
        <w:szCs w:val="20"/>
      </w:rPr>
      <w:tab/>
    </w:r>
    <w:r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F514FC">
      <w:rPr>
        <w:sz w:val="20"/>
        <w:szCs w:val="20"/>
      </w:rPr>
      <w:instrText>PAGE    \* MERGEFORMAT</w:instrTex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3863F8" w:rsidRPr="003863F8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3863F8">
      <w:rPr>
        <w:noProof/>
        <w:sz w:val="20"/>
        <w:szCs w:val="20"/>
      </w:rPr>
      <w:t xml:space="preserve"> 3 -</w:t>
    </w:r>
    <w:r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714" w:type="dxa"/>
      <w:shd w:val="clear" w:color="auto" w:fill="000000" w:themeFill="text1"/>
      <w:tblLook w:val="04A0" w:firstRow="1" w:lastRow="0" w:firstColumn="1" w:lastColumn="0" w:noHBand="0" w:noVBand="1"/>
    </w:tblPr>
    <w:tblGrid>
      <w:gridCol w:w="9923"/>
    </w:tblGrid>
    <w:tr w:rsidR="00DB35E1" w:rsidRPr="007A42CA" w:rsidTr="0031109C">
      <w:trPr>
        <w:trHeight w:val="628"/>
      </w:trPr>
      <w:tc>
        <w:tcPr>
          <w:tcW w:w="9923" w:type="dxa"/>
          <w:shd w:val="clear" w:color="auto" w:fill="000000" w:themeFill="text1"/>
        </w:tcPr>
        <w:p w:rsidR="001272AB" w:rsidRDefault="00DB35E1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“</w:t>
          </w:r>
          <w:r w:rsidR="001272AB"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 xml:space="preserve">DISPOSICIONES MÍNIMAS APLICABLES </w:t>
          </w:r>
        </w:p>
        <w:p w:rsidR="001272AB" w:rsidRPr="001272AB" w:rsidRDefault="001272AB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A LOS EQUIPOS DE TRABAJO</w:t>
          </w:r>
          <w:r w:rsidR="00DB35E1"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”</w:t>
          </w:r>
        </w:p>
        <w:p w:rsidR="00DB35E1" w:rsidRDefault="001272AB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(anexo I del R.D. 1215/1997)</w:t>
          </w:r>
        </w:p>
      </w:tc>
    </w:tr>
  </w:tbl>
  <w:p w:rsidR="00DB35E1" w:rsidRDefault="00DB3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F93"/>
    <w:multiLevelType w:val="hybridMultilevel"/>
    <w:tmpl w:val="2FCC0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4D3"/>
    <w:multiLevelType w:val="hybridMultilevel"/>
    <w:tmpl w:val="A24CB708"/>
    <w:lvl w:ilvl="0" w:tplc="2BFCE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B846998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27629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84422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A50E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02447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8CC5C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4F22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30CA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09D1382D"/>
    <w:multiLevelType w:val="hybridMultilevel"/>
    <w:tmpl w:val="E8744A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2B53"/>
    <w:multiLevelType w:val="hybridMultilevel"/>
    <w:tmpl w:val="86DC4E0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C1843"/>
    <w:multiLevelType w:val="hybridMultilevel"/>
    <w:tmpl w:val="C9C29238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73512E"/>
    <w:multiLevelType w:val="hybridMultilevel"/>
    <w:tmpl w:val="24D445D0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3A30B76"/>
    <w:multiLevelType w:val="hybridMultilevel"/>
    <w:tmpl w:val="C3BC90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253F3"/>
    <w:multiLevelType w:val="hybridMultilevel"/>
    <w:tmpl w:val="ABD45C3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6728"/>
    <w:multiLevelType w:val="hybridMultilevel"/>
    <w:tmpl w:val="E3583286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DD7E42"/>
    <w:multiLevelType w:val="hybridMultilevel"/>
    <w:tmpl w:val="156E7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6E9C"/>
    <w:multiLevelType w:val="hybridMultilevel"/>
    <w:tmpl w:val="6DF6E1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0071"/>
    <w:multiLevelType w:val="hybridMultilevel"/>
    <w:tmpl w:val="299C905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782F7F"/>
    <w:multiLevelType w:val="hybridMultilevel"/>
    <w:tmpl w:val="9F1EAA0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FF211F"/>
    <w:multiLevelType w:val="hybridMultilevel"/>
    <w:tmpl w:val="A3BC02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C463CFD"/>
    <w:multiLevelType w:val="hybridMultilevel"/>
    <w:tmpl w:val="475E63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A710E"/>
    <w:multiLevelType w:val="hybridMultilevel"/>
    <w:tmpl w:val="DFA20A9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8C32B6"/>
    <w:multiLevelType w:val="hybridMultilevel"/>
    <w:tmpl w:val="6F56C6B6"/>
    <w:lvl w:ilvl="0" w:tplc="D6DE8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5389"/>
    <w:multiLevelType w:val="hybridMultilevel"/>
    <w:tmpl w:val="3C74A83A"/>
    <w:lvl w:ilvl="0" w:tplc="C4D0E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16AB1"/>
    <w:multiLevelType w:val="hybridMultilevel"/>
    <w:tmpl w:val="8A14C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45E5"/>
    <w:multiLevelType w:val="hybridMultilevel"/>
    <w:tmpl w:val="B72CC146"/>
    <w:lvl w:ilvl="0" w:tplc="2B68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4A8FC80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5046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87247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56C6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20CE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6EACC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640F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88266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38DE5475"/>
    <w:multiLevelType w:val="hybridMultilevel"/>
    <w:tmpl w:val="2CC8693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300AE7"/>
    <w:multiLevelType w:val="hybridMultilevel"/>
    <w:tmpl w:val="E1E4AC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54C91"/>
    <w:multiLevelType w:val="hybridMultilevel"/>
    <w:tmpl w:val="B74C8A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C3760"/>
    <w:multiLevelType w:val="hybridMultilevel"/>
    <w:tmpl w:val="16B0BA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F1DB0"/>
    <w:multiLevelType w:val="hybridMultilevel"/>
    <w:tmpl w:val="1D56EF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9059C"/>
    <w:multiLevelType w:val="hybridMultilevel"/>
    <w:tmpl w:val="B8CAAC7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80106B"/>
    <w:multiLevelType w:val="hybridMultilevel"/>
    <w:tmpl w:val="C1960F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B5B17"/>
    <w:multiLevelType w:val="hybridMultilevel"/>
    <w:tmpl w:val="87CAD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15155"/>
    <w:multiLevelType w:val="hybridMultilevel"/>
    <w:tmpl w:val="00900044"/>
    <w:lvl w:ilvl="0" w:tplc="6714D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8784A">
      <w:start w:val="1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072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21A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2D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6B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CF3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5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20F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513A"/>
    <w:multiLevelType w:val="hybridMultilevel"/>
    <w:tmpl w:val="09FAF7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351E00"/>
    <w:multiLevelType w:val="hybridMultilevel"/>
    <w:tmpl w:val="2A1E1B76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07D7115"/>
    <w:multiLevelType w:val="hybridMultilevel"/>
    <w:tmpl w:val="A67C7A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E0618"/>
    <w:multiLevelType w:val="hybridMultilevel"/>
    <w:tmpl w:val="DF2E7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808E7"/>
    <w:multiLevelType w:val="hybridMultilevel"/>
    <w:tmpl w:val="909C1798"/>
    <w:lvl w:ilvl="0" w:tplc="87A2C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59C1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E84C2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046B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BAEA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A7A880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4D0E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8DC9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C7CE1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6" w15:restartNumberingAfterBreak="0">
    <w:nsid w:val="65360C3F"/>
    <w:multiLevelType w:val="hybridMultilevel"/>
    <w:tmpl w:val="E864F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B5B0D"/>
    <w:multiLevelType w:val="hybridMultilevel"/>
    <w:tmpl w:val="86C00B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BF16E3"/>
    <w:multiLevelType w:val="hybridMultilevel"/>
    <w:tmpl w:val="0A4A3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05101"/>
    <w:multiLevelType w:val="hybridMultilevel"/>
    <w:tmpl w:val="D07849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70DFC"/>
    <w:multiLevelType w:val="hybridMultilevel"/>
    <w:tmpl w:val="7728CC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72054C"/>
    <w:multiLevelType w:val="hybridMultilevel"/>
    <w:tmpl w:val="DD520D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50C26"/>
    <w:multiLevelType w:val="hybridMultilevel"/>
    <w:tmpl w:val="598A79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2E8C"/>
    <w:multiLevelType w:val="hybridMultilevel"/>
    <w:tmpl w:val="4BC2AB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805846"/>
    <w:multiLevelType w:val="hybridMultilevel"/>
    <w:tmpl w:val="8550A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439ED"/>
    <w:multiLevelType w:val="hybridMultilevel"/>
    <w:tmpl w:val="DFDA5D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54661"/>
    <w:multiLevelType w:val="hybridMultilevel"/>
    <w:tmpl w:val="7232664E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5645028"/>
    <w:multiLevelType w:val="multilevel"/>
    <w:tmpl w:val="CFA0BD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7A585FA2"/>
    <w:multiLevelType w:val="hybridMultilevel"/>
    <w:tmpl w:val="1F1CF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34"/>
  </w:num>
  <w:num w:numId="4">
    <w:abstractNumId w:val="41"/>
  </w:num>
  <w:num w:numId="5">
    <w:abstractNumId w:val="44"/>
  </w:num>
  <w:num w:numId="6">
    <w:abstractNumId w:val="45"/>
  </w:num>
  <w:num w:numId="7">
    <w:abstractNumId w:val="20"/>
  </w:num>
  <w:num w:numId="8">
    <w:abstractNumId w:val="33"/>
  </w:num>
  <w:num w:numId="9">
    <w:abstractNumId w:val="19"/>
  </w:num>
  <w:num w:numId="10">
    <w:abstractNumId w:val="35"/>
  </w:num>
  <w:num w:numId="11">
    <w:abstractNumId w:val="1"/>
  </w:num>
  <w:num w:numId="12">
    <w:abstractNumId w:val="30"/>
  </w:num>
  <w:num w:numId="13">
    <w:abstractNumId w:val="16"/>
  </w:num>
  <w:num w:numId="14">
    <w:abstractNumId w:val="23"/>
  </w:num>
  <w:num w:numId="15">
    <w:abstractNumId w:val="25"/>
  </w:num>
  <w:num w:numId="16">
    <w:abstractNumId w:val="48"/>
  </w:num>
  <w:num w:numId="17">
    <w:abstractNumId w:val="10"/>
  </w:num>
  <w:num w:numId="18">
    <w:abstractNumId w:val="0"/>
  </w:num>
  <w:num w:numId="19">
    <w:abstractNumId w:val="47"/>
  </w:num>
  <w:num w:numId="20">
    <w:abstractNumId w:val="38"/>
  </w:num>
  <w:num w:numId="21">
    <w:abstractNumId w:val="42"/>
  </w:num>
  <w:num w:numId="22">
    <w:abstractNumId w:val="12"/>
  </w:num>
  <w:num w:numId="23">
    <w:abstractNumId w:val="26"/>
  </w:num>
  <w:num w:numId="24">
    <w:abstractNumId w:val="9"/>
  </w:num>
  <w:num w:numId="25">
    <w:abstractNumId w:val="15"/>
  </w:num>
  <w:num w:numId="26">
    <w:abstractNumId w:val="27"/>
  </w:num>
  <w:num w:numId="27">
    <w:abstractNumId w:val="3"/>
  </w:num>
  <w:num w:numId="28">
    <w:abstractNumId w:val="37"/>
  </w:num>
  <w:num w:numId="29">
    <w:abstractNumId w:val="18"/>
  </w:num>
  <w:num w:numId="30">
    <w:abstractNumId w:val="11"/>
  </w:num>
  <w:num w:numId="31">
    <w:abstractNumId w:val="5"/>
  </w:num>
  <w:num w:numId="32">
    <w:abstractNumId w:val="32"/>
  </w:num>
  <w:num w:numId="33">
    <w:abstractNumId w:val="8"/>
  </w:num>
  <w:num w:numId="34">
    <w:abstractNumId w:val="28"/>
  </w:num>
  <w:num w:numId="35">
    <w:abstractNumId w:val="17"/>
  </w:num>
  <w:num w:numId="36">
    <w:abstractNumId w:val="31"/>
  </w:num>
  <w:num w:numId="37">
    <w:abstractNumId w:val="24"/>
  </w:num>
  <w:num w:numId="38">
    <w:abstractNumId w:val="43"/>
  </w:num>
  <w:num w:numId="39">
    <w:abstractNumId w:val="14"/>
  </w:num>
  <w:num w:numId="40">
    <w:abstractNumId w:val="39"/>
  </w:num>
  <w:num w:numId="41">
    <w:abstractNumId w:val="2"/>
  </w:num>
  <w:num w:numId="42">
    <w:abstractNumId w:val="4"/>
  </w:num>
  <w:num w:numId="43">
    <w:abstractNumId w:val="29"/>
  </w:num>
  <w:num w:numId="44">
    <w:abstractNumId w:val="7"/>
  </w:num>
  <w:num w:numId="45">
    <w:abstractNumId w:val="36"/>
  </w:num>
  <w:num w:numId="46">
    <w:abstractNumId w:val="40"/>
  </w:num>
  <w:num w:numId="47">
    <w:abstractNumId w:val="6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272AB"/>
    <w:rsid w:val="002C4CDB"/>
    <w:rsid w:val="002E591A"/>
    <w:rsid w:val="0031109C"/>
    <w:rsid w:val="003863F8"/>
    <w:rsid w:val="004963B2"/>
    <w:rsid w:val="004D1F8C"/>
    <w:rsid w:val="0090243C"/>
    <w:rsid w:val="009649DF"/>
    <w:rsid w:val="00C14EF2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0363A0C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272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7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1272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1272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1272AB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272AB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272AB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rsid w:val="001272AB"/>
    <w:rPr>
      <w:b/>
      <w:bCs/>
      <w:sz w:val="28"/>
      <w:szCs w:val="28"/>
    </w:rPr>
  </w:style>
  <w:style w:type="character" w:styleId="Textoennegrita">
    <w:name w:val="Strong"/>
    <w:basedOn w:val="Fuentedeprrafopredeter"/>
    <w:qFormat/>
    <w:rsid w:val="001272AB"/>
    <w:rPr>
      <w:b/>
      <w:bCs/>
    </w:rPr>
  </w:style>
  <w:style w:type="character" w:styleId="Hipervnculo">
    <w:name w:val="Hyperlink"/>
    <w:basedOn w:val="Fuentedeprrafopredeter"/>
    <w:rsid w:val="001272AB"/>
    <w:rPr>
      <w:color w:val="0000FF"/>
      <w:u w:val="single"/>
    </w:rPr>
  </w:style>
  <w:style w:type="paragraph" w:customStyle="1" w:styleId="textodesc">
    <w:name w:val="textodesc"/>
    <w:basedOn w:val="Normal"/>
    <w:rsid w:val="001272AB"/>
    <w:pPr>
      <w:spacing w:before="100" w:beforeAutospacing="1" w:after="100" w:afterAutospacing="1"/>
    </w:pPr>
  </w:style>
  <w:style w:type="paragraph" w:customStyle="1" w:styleId="a">
    <w:name w:val="a"/>
    <w:basedOn w:val="Normal"/>
    <w:rsid w:val="001272AB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1272AB"/>
    <w:rPr>
      <w:i/>
      <w:iCs/>
    </w:rPr>
  </w:style>
  <w:style w:type="paragraph" w:customStyle="1" w:styleId="Ttulo1A">
    <w:name w:val="Título 1A"/>
    <w:basedOn w:val="Mapadeldocumento"/>
    <w:rsid w:val="001272AB"/>
    <w:pPr>
      <w:spacing w:before="120" w:after="120"/>
      <w:jc w:val="center"/>
    </w:pPr>
    <w:rPr>
      <w:rFonts w:ascii="Verdana" w:hAnsi="Verdana"/>
      <w:b/>
    </w:rPr>
  </w:style>
  <w:style w:type="paragraph" w:customStyle="1" w:styleId="Ttulo2A">
    <w:name w:val="Título 2A"/>
    <w:basedOn w:val="Normal"/>
    <w:rsid w:val="001272AB"/>
    <w:pPr>
      <w:pBdr>
        <w:bottom w:val="thickThinSmallGap" w:sz="24" w:space="1" w:color="000080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styleId="Mapadeldocumento">
    <w:name w:val="Document Map"/>
    <w:basedOn w:val="Normal"/>
    <w:link w:val="MapadeldocumentoCar"/>
    <w:rsid w:val="00127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272AB"/>
    <w:rPr>
      <w:rFonts w:ascii="Tahoma" w:hAnsi="Tahoma" w:cs="Tahoma"/>
      <w:shd w:val="clear" w:color="auto" w:fill="000080"/>
    </w:rPr>
  </w:style>
  <w:style w:type="paragraph" w:customStyle="1" w:styleId="Ttulo3A">
    <w:name w:val="Título 3A"/>
    <w:basedOn w:val="Normal"/>
    <w:link w:val="Ttulo3ACar"/>
    <w:rsid w:val="001272AB"/>
    <w:pPr>
      <w:pBdr>
        <w:bottom w:val="single" w:sz="4" w:space="1" w:color="auto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customStyle="1" w:styleId="Ttulo4A">
    <w:name w:val="Título 4A"/>
    <w:basedOn w:val="Normal"/>
    <w:rsid w:val="001272AB"/>
    <w:pPr>
      <w:spacing w:before="120" w:after="120"/>
      <w:jc w:val="both"/>
    </w:pPr>
    <w:rPr>
      <w:rFonts w:ascii="Verdana" w:hAnsi="Verdana"/>
      <w:b/>
      <w:sz w:val="20"/>
      <w:szCs w:val="20"/>
    </w:rPr>
  </w:style>
  <w:style w:type="character" w:customStyle="1" w:styleId="Ttulo3ACar">
    <w:name w:val="Título 3A Car"/>
    <w:basedOn w:val="Fuentedeprrafopredeter"/>
    <w:link w:val="Ttulo3A"/>
    <w:rsid w:val="001272AB"/>
    <w:rPr>
      <w:rFonts w:ascii="Verdana" w:hAnsi="Verdana"/>
      <w:b/>
      <w:color w:val="000080"/>
    </w:rPr>
  </w:style>
  <w:style w:type="paragraph" w:styleId="TDC1">
    <w:name w:val="toc 1"/>
    <w:basedOn w:val="Ttulo1A"/>
    <w:next w:val="Normal"/>
    <w:autoRedefine/>
    <w:rsid w:val="001272AB"/>
  </w:style>
  <w:style w:type="paragraph" w:styleId="TDC2">
    <w:name w:val="toc 2"/>
    <w:basedOn w:val="Ttulo2A"/>
    <w:next w:val="Normal"/>
    <w:autoRedefine/>
    <w:rsid w:val="001272AB"/>
    <w:pPr>
      <w:ind w:left="240"/>
    </w:pPr>
  </w:style>
  <w:style w:type="paragraph" w:styleId="TDC3">
    <w:name w:val="toc 3"/>
    <w:basedOn w:val="Ttulo3A"/>
    <w:next w:val="Normal"/>
    <w:autoRedefine/>
    <w:rsid w:val="001272AB"/>
    <w:pPr>
      <w:pBdr>
        <w:bottom w:val="none" w:sz="0" w:space="0" w:color="auto"/>
      </w:pBdr>
      <w:ind w:left="480"/>
    </w:pPr>
    <w:rPr>
      <w:b w:val="0"/>
      <w:color w:val="auto"/>
    </w:rPr>
  </w:style>
  <w:style w:type="paragraph" w:styleId="TDC4">
    <w:name w:val="toc 4"/>
    <w:basedOn w:val="Ttulo4A"/>
    <w:next w:val="Normal"/>
    <w:autoRedefine/>
    <w:rsid w:val="001272AB"/>
    <w:pPr>
      <w:ind w:left="720"/>
    </w:pPr>
    <w:rPr>
      <w:b w:val="0"/>
    </w:rPr>
  </w:style>
  <w:style w:type="character" w:customStyle="1" w:styleId="b">
    <w:name w:val="b"/>
    <w:basedOn w:val="Fuentedeprrafopredeter"/>
    <w:rsid w:val="001272AB"/>
  </w:style>
  <w:style w:type="paragraph" w:customStyle="1" w:styleId="Default">
    <w:name w:val="Default"/>
    <w:rsid w:val="001272AB"/>
    <w:pPr>
      <w:widowControl w:val="0"/>
      <w:autoSpaceDE w:val="0"/>
      <w:autoSpaceDN w:val="0"/>
      <w:adjustRightInd w:val="0"/>
    </w:pPr>
    <w:rPr>
      <w:rFonts w:ascii="INNAJ K+ Helvetica" w:hAnsi="INNAJ K+ Helvetica" w:cs="INNAJ K+ Helvetica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1272AB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1A94-4695-4395-9B6C-8BB388CB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871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7</cp:revision>
  <cp:lastPrinted>2025-02-24T08:40:00Z</cp:lastPrinted>
  <dcterms:created xsi:type="dcterms:W3CDTF">2025-02-19T09:17:00Z</dcterms:created>
  <dcterms:modified xsi:type="dcterms:W3CDTF">2025-02-25T14:32:00Z</dcterms:modified>
</cp:coreProperties>
</file>